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5" w:rsidRPr="002C4A75" w:rsidRDefault="002C4A75" w:rsidP="002C4A75">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2C4A75">
        <w:rPr>
          <w:rFonts w:ascii="Georgia" w:hAnsi="Georgia" w:cs="Arial"/>
          <w:b w:val="0"/>
          <w:bCs w:val="0"/>
          <w:color w:val="B92517"/>
          <w:spacing w:val="-5"/>
          <w:sz w:val="58"/>
          <w:szCs w:val="58"/>
          <w:lang w:val="es-ES"/>
        </w:rPr>
        <w:t>C026 - Convenio sobre los métodos para la fijación de salarios mínimos, 1928 (núm. 26)</w:t>
      </w:r>
    </w:p>
    <w:p w:rsidR="002C4A75" w:rsidRPr="002C4A75" w:rsidRDefault="002C4A75" w:rsidP="002C4A75">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2C4A75">
        <w:rPr>
          <w:rFonts w:ascii="Arial" w:hAnsi="Arial" w:cs="Arial"/>
          <w:b w:val="0"/>
          <w:bCs w:val="0"/>
          <w:i/>
          <w:iCs/>
          <w:color w:val="333333"/>
          <w:sz w:val="41"/>
          <w:szCs w:val="41"/>
          <w:lang w:val="es-ES"/>
        </w:rPr>
        <w:t>Convenio relativo al establecimiento de métodos para la fijación de salarios mínimos (Entrada en vigor: 14 junio 1930)</w:t>
      </w:r>
      <w:r w:rsidRPr="002C4A75">
        <w:rPr>
          <w:rStyle w:val="secondline"/>
          <w:rFonts w:ascii="Arial" w:hAnsi="Arial" w:cs="Arial"/>
          <w:b w:val="0"/>
          <w:bCs w:val="0"/>
          <w:i/>
          <w:iCs/>
          <w:color w:val="333333"/>
          <w:sz w:val="33"/>
          <w:szCs w:val="33"/>
          <w:lang w:val="es-ES"/>
        </w:rPr>
        <w:t xml:space="preserve">Adopción: Ginebra, 11ª reunión </w:t>
      </w:r>
      <w:proofErr w:type="spellStart"/>
      <w:r w:rsidRPr="002C4A75">
        <w:rPr>
          <w:rStyle w:val="secondline"/>
          <w:rFonts w:ascii="Arial" w:hAnsi="Arial" w:cs="Arial"/>
          <w:b w:val="0"/>
          <w:bCs w:val="0"/>
          <w:i/>
          <w:iCs/>
          <w:color w:val="333333"/>
          <w:sz w:val="33"/>
          <w:szCs w:val="33"/>
          <w:lang w:val="es-ES"/>
        </w:rPr>
        <w:t>CIT</w:t>
      </w:r>
      <w:proofErr w:type="spellEnd"/>
      <w:r w:rsidRPr="002C4A75">
        <w:rPr>
          <w:rStyle w:val="secondline"/>
          <w:rFonts w:ascii="Arial" w:hAnsi="Arial" w:cs="Arial"/>
          <w:b w:val="0"/>
          <w:bCs w:val="0"/>
          <w:i/>
          <w:iCs/>
          <w:color w:val="333333"/>
          <w:sz w:val="33"/>
          <w:szCs w:val="33"/>
          <w:lang w:val="es-ES"/>
        </w:rPr>
        <w:t xml:space="preserve"> (16 junio 1928) - Estatus: Instrumento en situación provisoria (Convenios Técnicos).</w:t>
      </w:r>
    </w:p>
    <w:p w:rsidR="002C4A75" w:rsidRPr="002C4A75" w:rsidRDefault="002C4A75" w:rsidP="002C4A7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2C4A75">
        <w:rPr>
          <w:rFonts w:ascii="Georgia" w:hAnsi="Georgia" w:cs="Arial"/>
          <w:color w:val="B92517"/>
          <w:sz w:val="23"/>
          <w:szCs w:val="23"/>
          <w:lang w:val="es-ES"/>
        </w:rPr>
        <w:t>Preámbulo</w:t>
      </w:r>
    </w:p>
    <w:p w:rsidR="002C4A75" w:rsidRPr="002C4A75" w:rsidRDefault="002C4A75" w:rsidP="002C4A7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La Conferencia General de la Organización Internacional del Trabajo:</w:t>
      </w:r>
    </w:p>
    <w:p w:rsidR="002C4A75" w:rsidRPr="002C4A75" w:rsidRDefault="002C4A75" w:rsidP="002C4A7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Convocada en Ginebra por el Consejo de Administración de la Oficina Internacional del Trabajo, y congregada en dicha ciudad el 30 mayo 1928 en su undécima reunión;</w:t>
      </w:r>
    </w:p>
    <w:p w:rsidR="002C4A75" w:rsidRPr="002C4A75" w:rsidRDefault="002C4A75" w:rsidP="002C4A7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Después de haber decidido adoptar diversas proposiciones relativas a los métodos para la fijación de salarios mínimos, cuestión que constituye el primer punto del orden del día de la reunión, y</w:t>
      </w:r>
    </w:p>
    <w:p w:rsidR="002C4A75" w:rsidRPr="002C4A75" w:rsidRDefault="002C4A75" w:rsidP="002C4A7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Después de haber decidido que dichas proposiciones revistan la forma de un convenio internacional,</w:t>
      </w:r>
    </w:p>
    <w:p w:rsidR="002C4A75" w:rsidRPr="002C4A75" w:rsidRDefault="002C4A75" w:rsidP="002C4A7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adopta, con fecha dieciséis de junio de mil novecientos veintiocho, el siguiente Convenio, que podrá ser citado como el Convenio sobre los métodos para la fijación de salarios mínimos, 1928, y que será sometido a la ratificación de los Miembros de la Organización Internacional del Trabajo, de acuerdo con las disposiciones de la Constitución de la Organización Internacional del Trabajo:</w:t>
      </w:r>
    </w:p>
    <w:p w:rsid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2C4A75" w:rsidRPr="002C4A75" w:rsidRDefault="002C4A75" w:rsidP="002C4A75">
      <w:pPr>
        <w:numPr>
          <w:ilvl w:val="0"/>
          <w:numId w:val="1"/>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2C4A75">
        <w:rPr>
          <w:rFonts w:ascii="Georgia" w:hAnsi="Georgia" w:cs="Arial"/>
          <w:color w:val="333333"/>
          <w:sz w:val="18"/>
          <w:szCs w:val="18"/>
          <w:lang w:val="es-ES"/>
        </w:rPr>
        <w:t>1. Todo Miembro de la Organización Internacional del Trabajo que ratifique el presente Convenio se obliga a establecer o mantener métodos que permitan la fijación de tasas mínimas de los salarios de los trabajadores empleados en industrias o partes de industria (especialmente en las industrias a domicilio) en las que no exista un régimen eficaz para la fijación de salarios, por medio de contratos colectivos u otro sistema, y en las que los salarios sean excepcionalmente bajos.</w:t>
      </w:r>
    </w:p>
    <w:p w:rsidR="002C4A75" w:rsidRPr="002C4A75" w:rsidRDefault="002C4A75" w:rsidP="002C4A75">
      <w:pPr>
        <w:numPr>
          <w:ilvl w:val="0"/>
          <w:numId w:val="1"/>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2C4A75">
        <w:rPr>
          <w:rFonts w:ascii="Georgia" w:hAnsi="Georgia" w:cs="Arial"/>
          <w:color w:val="333333"/>
          <w:sz w:val="18"/>
          <w:szCs w:val="18"/>
          <w:lang w:val="es-ES"/>
        </w:rPr>
        <w:lastRenderedPageBreak/>
        <w:t>2. A los efectos de este Convenio, el término</w:t>
      </w:r>
      <w:r w:rsidRPr="002C4A75">
        <w:rPr>
          <w:rStyle w:val="apple-converted-space"/>
          <w:rFonts w:ascii="Georgia" w:hAnsi="Georgia" w:cs="Arial"/>
          <w:color w:val="333333"/>
          <w:sz w:val="18"/>
          <w:szCs w:val="18"/>
          <w:lang w:val="es-ES"/>
        </w:rPr>
        <w:t> </w:t>
      </w:r>
      <w:r w:rsidRPr="002C4A75">
        <w:rPr>
          <w:rFonts w:ascii="Georgia" w:hAnsi="Georgia" w:cs="Arial"/>
          <w:b/>
          <w:bCs/>
          <w:i/>
          <w:iCs/>
          <w:color w:val="333333"/>
          <w:sz w:val="18"/>
          <w:szCs w:val="18"/>
          <w:lang w:val="es-ES"/>
        </w:rPr>
        <w:t>industrias</w:t>
      </w:r>
      <w:r w:rsidRPr="002C4A75">
        <w:rPr>
          <w:rStyle w:val="apple-converted-space"/>
          <w:rFonts w:ascii="Georgia" w:hAnsi="Georgia" w:cs="Arial"/>
          <w:color w:val="333333"/>
          <w:sz w:val="18"/>
          <w:szCs w:val="18"/>
          <w:lang w:val="es-ES"/>
        </w:rPr>
        <w:t> </w:t>
      </w:r>
      <w:r w:rsidRPr="002C4A75">
        <w:rPr>
          <w:rFonts w:ascii="Georgia" w:hAnsi="Georgia" w:cs="Arial"/>
          <w:color w:val="333333"/>
          <w:sz w:val="18"/>
          <w:szCs w:val="18"/>
          <w:lang w:val="es-ES"/>
        </w:rPr>
        <w:t>comprende las industrias de transformación y el comercio.</w:t>
      </w:r>
    </w:p>
    <w:p w:rsidR="002C4A75" w:rsidRP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2"/>
      <w:bookmarkEnd w:id="3"/>
      <w:r w:rsidRPr="002C4A75">
        <w:rPr>
          <w:rFonts w:ascii="Georgia" w:hAnsi="Georgia" w:cs="Arial"/>
          <w:i/>
          <w:iCs/>
          <w:color w:val="333333"/>
          <w:sz w:val="21"/>
          <w:szCs w:val="21"/>
          <w:lang w:val="es-ES"/>
        </w:rPr>
        <w:t>Artículo 2</w:t>
      </w:r>
    </w:p>
    <w:p w:rsidR="002C4A75" w:rsidRPr="002C4A75" w:rsidRDefault="002C4A75" w:rsidP="002C4A7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Todo Miembro que ratifique el presente Convenio quedará en libertad para decidir, previa consulta a las organizaciones de empleadores y de trabajadores, cuando dichas organizaciones existan en la industria o partes de la industria en cuestión, a qué industrias o partes de industria, y especialmente a qué industrias a domicilio o partes de estas industrias, se aplicarán los métodos para la fijación de salarios mínimos previstos en el artículo 1.</w:t>
      </w:r>
    </w:p>
    <w:p w:rsid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3"/>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2C4A75" w:rsidRPr="002C4A75" w:rsidRDefault="002C4A75" w:rsidP="002C4A75">
      <w:pPr>
        <w:numPr>
          <w:ilvl w:val="0"/>
          <w:numId w:val="2"/>
        </w:numPr>
        <w:shd w:val="clear" w:color="auto" w:fill="FFFFFF"/>
        <w:spacing w:after="144" w:line="408" w:lineRule="atLeast"/>
        <w:ind w:left="0"/>
        <w:rPr>
          <w:rFonts w:ascii="Georgia" w:hAnsi="Georgia" w:cs="Arial"/>
          <w:color w:val="333333"/>
          <w:sz w:val="18"/>
          <w:szCs w:val="18"/>
          <w:lang w:val="es-ES"/>
        </w:rPr>
      </w:pPr>
      <w:bookmarkStart w:id="5" w:name="A3P1"/>
      <w:bookmarkEnd w:id="5"/>
      <w:r w:rsidRPr="002C4A75">
        <w:rPr>
          <w:rFonts w:ascii="Georgia" w:hAnsi="Georgia" w:cs="Arial"/>
          <w:color w:val="333333"/>
          <w:sz w:val="18"/>
          <w:szCs w:val="18"/>
          <w:lang w:val="es-ES"/>
        </w:rPr>
        <w:t>1. Todo Miembro que ratifique el presente Convenio quedará en libertad de determinar los métodos para la fijación de salarios mínimos y la forma de su aplicación.</w:t>
      </w:r>
    </w:p>
    <w:p w:rsidR="002C4A75" w:rsidRDefault="002C4A75" w:rsidP="002C4A75">
      <w:pPr>
        <w:numPr>
          <w:ilvl w:val="0"/>
          <w:numId w:val="2"/>
        </w:numPr>
        <w:shd w:val="clear" w:color="auto" w:fill="FFFFFF"/>
        <w:spacing w:after="144" w:line="408" w:lineRule="atLeast"/>
        <w:ind w:left="0"/>
        <w:rPr>
          <w:rFonts w:ascii="Georgia" w:hAnsi="Georgia" w:cs="Arial"/>
          <w:color w:val="333333"/>
          <w:sz w:val="18"/>
          <w:szCs w:val="18"/>
        </w:rPr>
      </w:pPr>
      <w:bookmarkStart w:id="6" w:name="A3P2"/>
      <w:bookmarkEnd w:id="6"/>
      <w:r>
        <w:rPr>
          <w:rFonts w:ascii="Georgia" w:hAnsi="Georgia" w:cs="Arial"/>
          <w:color w:val="333333"/>
          <w:sz w:val="18"/>
          <w:szCs w:val="18"/>
        </w:rPr>
        <w:t>2. Sin embargo:</w:t>
      </w:r>
    </w:p>
    <w:p w:rsidR="002C4A75" w:rsidRPr="002C4A75" w:rsidRDefault="002C4A75" w:rsidP="002C4A75">
      <w:pPr>
        <w:numPr>
          <w:ilvl w:val="0"/>
          <w:numId w:val="3"/>
        </w:numPr>
        <w:shd w:val="clear" w:color="auto" w:fill="FFFFFF"/>
        <w:spacing w:after="144" w:line="408" w:lineRule="atLeast"/>
        <w:ind w:left="480"/>
        <w:rPr>
          <w:rFonts w:ascii="Georgia" w:hAnsi="Georgia" w:cs="Arial"/>
          <w:color w:val="333333"/>
          <w:sz w:val="18"/>
          <w:szCs w:val="18"/>
          <w:lang w:val="es-ES"/>
        </w:rPr>
      </w:pPr>
      <w:r w:rsidRPr="002C4A75">
        <w:rPr>
          <w:rFonts w:ascii="Georgia" w:hAnsi="Georgia" w:cs="Arial"/>
          <w:color w:val="333333"/>
          <w:sz w:val="18"/>
          <w:szCs w:val="18"/>
          <w:lang w:val="es-ES"/>
        </w:rPr>
        <w:t xml:space="preserve">(1) Antes de aplicar los métodos a una industria, o parte de una industria determinada, se consultará a los representantes de los empleadores y de los trabajadores interesados, </w:t>
      </w:r>
      <w:proofErr w:type="spellStart"/>
      <w:r w:rsidRPr="002C4A75">
        <w:rPr>
          <w:rFonts w:ascii="Georgia" w:hAnsi="Georgia" w:cs="Arial"/>
          <w:color w:val="333333"/>
          <w:sz w:val="18"/>
          <w:szCs w:val="18"/>
          <w:lang w:val="es-ES"/>
        </w:rPr>
        <w:t>incluídos</w:t>
      </w:r>
      <w:proofErr w:type="spellEnd"/>
      <w:r w:rsidRPr="002C4A75">
        <w:rPr>
          <w:rFonts w:ascii="Georgia" w:hAnsi="Georgia" w:cs="Arial"/>
          <w:color w:val="333333"/>
          <w:sz w:val="18"/>
          <w:szCs w:val="18"/>
          <w:lang w:val="es-ES"/>
        </w:rPr>
        <w:t xml:space="preserve"> los representantes de sus organizaciones respectivas, cuando dichas organizaciones existan, y a cualquier persona, especialmente calificada a estos efectos por su profesión o sus funciones, a la que la autoridad competente crea oportuno dirigirse.</w:t>
      </w:r>
    </w:p>
    <w:p w:rsidR="002C4A75" w:rsidRPr="002C4A75" w:rsidRDefault="002C4A75" w:rsidP="002C4A75">
      <w:pPr>
        <w:numPr>
          <w:ilvl w:val="0"/>
          <w:numId w:val="3"/>
        </w:numPr>
        <w:shd w:val="clear" w:color="auto" w:fill="FFFFFF"/>
        <w:spacing w:after="144" w:line="408" w:lineRule="atLeast"/>
        <w:ind w:left="480"/>
        <w:rPr>
          <w:rFonts w:ascii="Georgia" w:hAnsi="Georgia" w:cs="Arial"/>
          <w:color w:val="333333"/>
          <w:sz w:val="18"/>
          <w:szCs w:val="18"/>
          <w:lang w:val="es-ES"/>
        </w:rPr>
      </w:pPr>
      <w:r w:rsidRPr="002C4A75">
        <w:rPr>
          <w:rFonts w:ascii="Georgia" w:hAnsi="Georgia" w:cs="Arial"/>
          <w:color w:val="333333"/>
          <w:sz w:val="18"/>
          <w:szCs w:val="18"/>
          <w:lang w:val="es-ES"/>
        </w:rPr>
        <w:t>(2) Los empleadores y trabajadores interesados deberán participar en la aplicación de los métodos en la forma y en la medida que determine la legislación nacional, pero siempre en número igual y en el mismo plano de igualdad.</w:t>
      </w:r>
    </w:p>
    <w:p w:rsidR="002C4A75" w:rsidRPr="002C4A75" w:rsidRDefault="002C4A75" w:rsidP="002C4A75">
      <w:pPr>
        <w:numPr>
          <w:ilvl w:val="0"/>
          <w:numId w:val="3"/>
        </w:numPr>
        <w:shd w:val="clear" w:color="auto" w:fill="FFFFFF"/>
        <w:spacing w:after="144" w:line="408" w:lineRule="atLeast"/>
        <w:ind w:left="480"/>
        <w:rPr>
          <w:rFonts w:ascii="Georgia" w:hAnsi="Georgia" w:cs="Arial"/>
          <w:color w:val="333333"/>
          <w:sz w:val="18"/>
          <w:szCs w:val="18"/>
          <w:lang w:val="es-ES"/>
        </w:rPr>
      </w:pPr>
      <w:r w:rsidRPr="002C4A75">
        <w:rPr>
          <w:rFonts w:ascii="Georgia" w:hAnsi="Georgia" w:cs="Arial"/>
          <w:color w:val="333333"/>
          <w:sz w:val="18"/>
          <w:szCs w:val="18"/>
          <w:lang w:val="es-ES"/>
        </w:rPr>
        <w:t>(3) Las tasas mínimas de salarios que hayan sido fijadas serán obligatorias para los empleadores y trabajadores interesados, quienes no podrán rebajarlas por medio de un contrato individual ni, excepto cuando la autoridad competente dé una autorización general o especial, por un contrato colectivo.</w:t>
      </w:r>
    </w:p>
    <w:p w:rsid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4"/>
      <w:bookmarkEnd w:id="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w:t>
      </w:r>
    </w:p>
    <w:p w:rsidR="002C4A75" w:rsidRPr="002C4A75" w:rsidRDefault="002C4A75" w:rsidP="002C4A75">
      <w:pPr>
        <w:numPr>
          <w:ilvl w:val="0"/>
          <w:numId w:val="4"/>
        </w:numPr>
        <w:shd w:val="clear" w:color="auto" w:fill="FFFFFF"/>
        <w:spacing w:after="144" w:line="408" w:lineRule="atLeast"/>
        <w:ind w:left="0"/>
        <w:rPr>
          <w:rFonts w:ascii="Georgia" w:hAnsi="Georgia" w:cs="Arial"/>
          <w:color w:val="333333"/>
          <w:sz w:val="18"/>
          <w:szCs w:val="18"/>
          <w:lang w:val="es-ES"/>
        </w:rPr>
      </w:pPr>
      <w:bookmarkStart w:id="8" w:name="A4P1"/>
      <w:bookmarkEnd w:id="8"/>
      <w:r w:rsidRPr="002C4A75">
        <w:rPr>
          <w:rFonts w:ascii="Georgia" w:hAnsi="Georgia" w:cs="Arial"/>
          <w:color w:val="333333"/>
          <w:sz w:val="18"/>
          <w:szCs w:val="18"/>
          <w:lang w:val="es-ES"/>
        </w:rPr>
        <w:t>1. Todo Miembro que ratifique el presente Convenio deberá adoptar las medidas necesarias para aplicar un sistema de control y de sanciones, a fin de asegurar que los empleadores y trabajadores interesados conozcan las tasas mínimas de los salarios vigentes, y que los salarios pagados no sean inferiores a las tasas mínimas aplicables.</w:t>
      </w:r>
    </w:p>
    <w:p w:rsidR="002C4A75" w:rsidRPr="002C4A75" w:rsidRDefault="002C4A75" w:rsidP="002C4A75">
      <w:pPr>
        <w:numPr>
          <w:ilvl w:val="0"/>
          <w:numId w:val="4"/>
        </w:numPr>
        <w:shd w:val="clear" w:color="auto" w:fill="FFFFFF"/>
        <w:spacing w:after="144" w:line="408" w:lineRule="atLeast"/>
        <w:ind w:left="0"/>
        <w:rPr>
          <w:rFonts w:ascii="Georgia" w:hAnsi="Georgia" w:cs="Arial"/>
          <w:color w:val="333333"/>
          <w:sz w:val="18"/>
          <w:szCs w:val="18"/>
          <w:lang w:val="es-ES"/>
        </w:rPr>
      </w:pPr>
      <w:bookmarkStart w:id="9" w:name="A4P2"/>
      <w:bookmarkEnd w:id="9"/>
      <w:r w:rsidRPr="002C4A75">
        <w:rPr>
          <w:rFonts w:ascii="Georgia" w:hAnsi="Georgia" w:cs="Arial"/>
          <w:color w:val="333333"/>
          <w:sz w:val="18"/>
          <w:szCs w:val="18"/>
          <w:lang w:val="es-ES"/>
        </w:rPr>
        <w:t>2. Todo trabajador al que le sean aplicadas las tasas mínimas y haya recibido salarios inferiores a esas tasas tendrá derecho a recuperar la suma que se le adeude, por vía judicial o por cualquier otra vía legal, dentro del plazo que fije la legislación nacional.</w:t>
      </w:r>
    </w:p>
    <w:p w:rsidR="002C4A75" w:rsidRP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5"/>
      <w:bookmarkEnd w:id="10"/>
      <w:r w:rsidRPr="002C4A75">
        <w:rPr>
          <w:rFonts w:ascii="Georgia" w:hAnsi="Georgia" w:cs="Arial"/>
          <w:i/>
          <w:iCs/>
          <w:color w:val="333333"/>
          <w:sz w:val="21"/>
          <w:szCs w:val="21"/>
          <w:lang w:val="es-ES"/>
        </w:rPr>
        <w:lastRenderedPageBreak/>
        <w:t>Artículo 5</w:t>
      </w:r>
    </w:p>
    <w:p w:rsidR="002C4A75" w:rsidRPr="002C4A75" w:rsidRDefault="002C4A75" w:rsidP="002C4A7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Todo Miembro que ratifique el presente Convenio deberá enviar todos los años a la Oficina Internacional del Trabajo un informe general en el que figure la lista de las industrias o partes de industria a las que se apliquen los métodos de fijación de los salarios mínimos, y dará a conocer, al mismo tiempo, las formas de aplicación de estos métodos y sus resultados. En esta exposición se indicarán, en forma sumaria, el número aproximado de trabajadores sujetos a esta reglamentación, las tasas de salarios mínimos fijadas y, si fuera necesario, las demás medidas importantes relativas a los salarios mínimos.</w:t>
      </w:r>
    </w:p>
    <w:p w:rsidR="002C4A75" w:rsidRP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6"/>
      <w:bookmarkEnd w:id="11"/>
      <w:r w:rsidRPr="002C4A75">
        <w:rPr>
          <w:rFonts w:ascii="Georgia" w:hAnsi="Georgia" w:cs="Arial"/>
          <w:i/>
          <w:iCs/>
          <w:color w:val="333333"/>
          <w:sz w:val="21"/>
          <w:szCs w:val="21"/>
          <w:lang w:val="es-ES"/>
        </w:rPr>
        <w:t>Artículo 6</w:t>
      </w:r>
    </w:p>
    <w:p w:rsidR="002C4A75" w:rsidRPr="002C4A75" w:rsidRDefault="002C4A75" w:rsidP="002C4A7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2" w:name="A7"/>
      <w:bookmarkEnd w:id="12"/>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2C4A75" w:rsidRPr="002C4A75" w:rsidRDefault="002C4A75" w:rsidP="002C4A75">
      <w:pPr>
        <w:numPr>
          <w:ilvl w:val="0"/>
          <w:numId w:val="5"/>
        </w:numPr>
        <w:shd w:val="clear" w:color="auto" w:fill="FFFFFF"/>
        <w:spacing w:after="144" w:line="408" w:lineRule="atLeast"/>
        <w:ind w:left="0"/>
        <w:rPr>
          <w:rFonts w:ascii="Georgia" w:hAnsi="Georgia" w:cs="Arial"/>
          <w:color w:val="333333"/>
          <w:sz w:val="18"/>
          <w:szCs w:val="18"/>
          <w:lang w:val="es-ES"/>
        </w:rPr>
      </w:pPr>
      <w:bookmarkStart w:id="13" w:name="A7P1"/>
      <w:bookmarkEnd w:id="13"/>
      <w:r w:rsidRPr="002C4A75">
        <w:rPr>
          <w:rFonts w:ascii="Georgia" w:hAnsi="Georgia" w:cs="Arial"/>
          <w:color w:val="333333"/>
          <w:sz w:val="18"/>
          <w:szCs w:val="18"/>
          <w:lang w:val="es-ES"/>
        </w:rPr>
        <w:t>1. Este Convenio obligará únicamente a aquellos Miembros cuyas ratificaciones hayan sido registradas en la Oficina Internacional del Trabajo.</w:t>
      </w:r>
    </w:p>
    <w:p w:rsidR="002C4A75" w:rsidRPr="002C4A75" w:rsidRDefault="002C4A75" w:rsidP="002C4A75">
      <w:pPr>
        <w:numPr>
          <w:ilvl w:val="0"/>
          <w:numId w:val="5"/>
        </w:numPr>
        <w:shd w:val="clear" w:color="auto" w:fill="FFFFFF"/>
        <w:spacing w:after="144" w:line="408" w:lineRule="atLeast"/>
        <w:ind w:left="0"/>
        <w:rPr>
          <w:rFonts w:ascii="Georgia" w:hAnsi="Georgia" w:cs="Arial"/>
          <w:color w:val="333333"/>
          <w:sz w:val="18"/>
          <w:szCs w:val="18"/>
          <w:lang w:val="es-ES"/>
        </w:rPr>
      </w:pPr>
      <w:bookmarkStart w:id="14" w:name="A7P2"/>
      <w:bookmarkEnd w:id="14"/>
      <w:r w:rsidRPr="002C4A75">
        <w:rPr>
          <w:rFonts w:ascii="Georgia" w:hAnsi="Georgia" w:cs="Arial"/>
          <w:color w:val="333333"/>
          <w:sz w:val="18"/>
          <w:szCs w:val="18"/>
          <w:lang w:val="es-ES"/>
        </w:rPr>
        <w:t>2. Entrará en vigor doce meses después de la fecha en que las ratificaciones de dos Miembros de la Organización Internacional del Trabajo hayan sido registradas por el Director General.</w:t>
      </w:r>
    </w:p>
    <w:p w:rsidR="002C4A75" w:rsidRPr="002C4A75" w:rsidRDefault="002C4A75" w:rsidP="002C4A75">
      <w:pPr>
        <w:numPr>
          <w:ilvl w:val="0"/>
          <w:numId w:val="5"/>
        </w:numPr>
        <w:shd w:val="clear" w:color="auto" w:fill="FFFFFF"/>
        <w:spacing w:after="144" w:line="408" w:lineRule="atLeast"/>
        <w:ind w:left="0"/>
        <w:rPr>
          <w:rFonts w:ascii="Georgia" w:hAnsi="Georgia" w:cs="Arial"/>
          <w:color w:val="333333"/>
          <w:sz w:val="18"/>
          <w:szCs w:val="18"/>
          <w:lang w:val="es-ES"/>
        </w:rPr>
      </w:pPr>
      <w:bookmarkStart w:id="15" w:name="A7P3"/>
      <w:bookmarkEnd w:id="15"/>
      <w:r w:rsidRPr="002C4A75">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2C4A75" w:rsidRP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8"/>
      <w:bookmarkEnd w:id="16"/>
      <w:r w:rsidRPr="002C4A75">
        <w:rPr>
          <w:rFonts w:ascii="Georgia" w:hAnsi="Georgia" w:cs="Arial"/>
          <w:i/>
          <w:iCs/>
          <w:color w:val="333333"/>
          <w:sz w:val="21"/>
          <w:szCs w:val="21"/>
          <w:lang w:val="es-ES"/>
        </w:rPr>
        <w:t>Artículo 8</w:t>
      </w:r>
    </w:p>
    <w:p w:rsidR="002C4A75" w:rsidRPr="002C4A75" w:rsidRDefault="002C4A75" w:rsidP="002C4A7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7" w:name="A9"/>
      <w:bookmarkEnd w:id="1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9</w:t>
      </w:r>
    </w:p>
    <w:p w:rsidR="002C4A75" w:rsidRPr="002C4A75" w:rsidRDefault="002C4A75" w:rsidP="002C4A75">
      <w:pPr>
        <w:numPr>
          <w:ilvl w:val="0"/>
          <w:numId w:val="6"/>
        </w:numPr>
        <w:shd w:val="clear" w:color="auto" w:fill="FFFFFF"/>
        <w:spacing w:after="144" w:line="408" w:lineRule="atLeast"/>
        <w:ind w:left="0"/>
        <w:rPr>
          <w:rFonts w:ascii="Georgia" w:hAnsi="Georgia" w:cs="Arial"/>
          <w:color w:val="333333"/>
          <w:sz w:val="18"/>
          <w:szCs w:val="18"/>
          <w:lang w:val="es-ES"/>
        </w:rPr>
      </w:pPr>
      <w:bookmarkStart w:id="18" w:name="A9P1"/>
      <w:bookmarkEnd w:id="18"/>
      <w:r w:rsidRPr="002C4A75">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2C4A75" w:rsidRPr="002C4A75" w:rsidRDefault="002C4A75" w:rsidP="002C4A75">
      <w:pPr>
        <w:numPr>
          <w:ilvl w:val="0"/>
          <w:numId w:val="6"/>
        </w:numPr>
        <w:shd w:val="clear" w:color="auto" w:fill="FFFFFF"/>
        <w:spacing w:after="144" w:line="408" w:lineRule="atLeast"/>
        <w:ind w:left="0"/>
        <w:rPr>
          <w:rFonts w:ascii="Georgia" w:hAnsi="Georgia" w:cs="Arial"/>
          <w:color w:val="333333"/>
          <w:sz w:val="18"/>
          <w:szCs w:val="18"/>
          <w:lang w:val="es-ES"/>
        </w:rPr>
      </w:pPr>
      <w:bookmarkStart w:id="19" w:name="A9P2"/>
      <w:bookmarkEnd w:id="19"/>
      <w:r w:rsidRPr="002C4A75">
        <w:rPr>
          <w:rFonts w:ascii="Georgia" w:hAnsi="Georgia" w:cs="Arial"/>
          <w:color w:val="333333"/>
          <w:sz w:val="18"/>
          <w:szCs w:val="18"/>
          <w:lang w:val="es-ES"/>
        </w:rPr>
        <w:lastRenderedPageBreak/>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cinco años, y en lo sucesivo podrá denunciar este Convenio a la expiración de cada período de cinco años, en las condiciones previstas en este artículo.</w:t>
      </w:r>
    </w:p>
    <w:p w:rsidR="002C4A75" w:rsidRP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10"/>
      <w:bookmarkEnd w:id="20"/>
      <w:r w:rsidRPr="002C4A75">
        <w:rPr>
          <w:rFonts w:ascii="Georgia" w:hAnsi="Georgia" w:cs="Arial"/>
          <w:i/>
          <w:iCs/>
          <w:color w:val="333333"/>
          <w:sz w:val="21"/>
          <w:szCs w:val="21"/>
          <w:lang w:val="es-ES"/>
        </w:rPr>
        <w:t>Artículo 10</w:t>
      </w:r>
    </w:p>
    <w:p w:rsidR="002C4A75" w:rsidRPr="002C4A75" w:rsidRDefault="002C4A75" w:rsidP="002C4A7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Por lo menos una vez diez años, el Consejo de Administración de la Oficina Internacional del Trabajo deberá presentar a la Conferencia General una memoria sobre la aplicación de este Convenio, y deberá considerar la conveniencia de incluir en el orden del día de la Conferencia la cuestión de su revisión o modificación del mismo.</w:t>
      </w:r>
    </w:p>
    <w:p w:rsidR="002C4A75" w:rsidRPr="002C4A75" w:rsidRDefault="002C4A75" w:rsidP="002C4A7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1" w:name="A11"/>
      <w:bookmarkEnd w:id="21"/>
      <w:r w:rsidRPr="002C4A75">
        <w:rPr>
          <w:rFonts w:ascii="Georgia" w:hAnsi="Georgia" w:cs="Arial"/>
          <w:i/>
          <w:iCs/>
          <w:color w:val="333333"/>
          <w:sz w:val="21"/>
          <w:szCs w:val="21"/>
          <w:lang w:val="es-ES"/>
        </w:rPr>
        <w:t>Artículo 11</w:t>
      </w:r>
    </w:p>
    <w:p w:rsidR="002C4A75" w:rsidRPr="002C4A75" w:rsidRDefault="002C4A75" w:rsidP="002C4A7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2C4A75">
        <w:rPr>
          <w:rFonts w:ascii="Georgia" w:hAnsi="Georgia" w:cs="Arial"/>
          <w:color w:val="333333"/>
          <w:sz w:val="18"/>
          <w:szCs w:val="18"/>
          <w:lang w:val="es-ES"/>
        </w:rPr>
        <w:t>Las versiones inglesa y francesa del texto de este Convenio son igualmente auténticas.</w:t>
      </w:r>
    </w:p>
    <w:p w:rsidR="0069165A" w:rsidRPr="002C4A75" w:rsidRDefault="0069165A" w:rsidP="002C4A75">
      <w:pPr>
        <w:rPr>
          <w:lang w:val="es-ES"/>
        </w:rPr>
      </w:pPr>
    </w:p>
    <w:sectPr w:rsidR="0069165A" w:rsidRPr="002C4A75"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F0D"/>
    <w:multiLevelType w:val="multilevel"/>
    <w:tmpl w:val="CDA23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E4161"/>
    <w:multiLevelType w:val="multilevel"/>
    <w:tmpl w:val="C6449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01957"/>
    <w:multiLevelType w:val="multilevel"/>
    <w:tmpl w:val="B590F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6688D"/>
    <w:multiLevelType w:val="multilevel"/>
    <w:tmpl w:val="7478B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77108"/>
    <w:multiLevelType w:val="multilevel"/>
    <w:tmpl w:val="14DEC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87A0B"/>
    <w:multiLevelType w:val="multilevel"/>
    <w:tmpl w:val="95CC3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2C4A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27C2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54257119">
      <w:bodyDiv w:val="1"/>
      <w:marLeft w:val="0"/>
      <w:marRight w:val="0"/>
      <w:marTop w:val="0"/>
      <w:marBottom w:val="0"/>
      <w:divBdr>
        <w:top w:val="none" w:sz="0" w:space="0" w:color="auto"/>
        <w:left w:val="none" w:sz="0" w:space="0" w:color="auto"/>
        <w:bottom w:val="none" w:sz="0" w:space="0" w:color="auto"/>
        <w:right w:val="none" w:sz="0" w:space="0" w:color="auto"/>
      </w:divBdr>
      <w:divsChild>
        <w:div w:id="2145344073">
          <w:marLeft w:val="0"/>
          <w:marRight w:val="0"/>
          <w:marTop w:val="0"/>
          <w:marBottom w:val="225"/>
          <w:divBdr>
            <w:top w:val="none" w:sz="0" w:space="0" w:color="auto"/>
            <w:left w:val="none" w:sz="0" w:space="0" w:color="auto"/>
            <w:bottom w:val="none" w:sz="0" w:space="0" w:color="auto"/>
            <w:right w:val="none" w:sz="0" w:space="0" w:color="auto"/>
          </w:divBdr>
        </w:div>
        <w:div w:id="2087680263">
          <w:marLeft w:val="0"/>
          <w:marRight w:val="0"/>
          <w:marTop w:val="0"/>
          <w:marBottom w:val="0"/>
          <w:divBdr>
            <w:top w:val="none" w:sz="0" w:space="0" w:color="auto"/>
            <w:left w:val="none" w:sz="0" w:space="0" w:color="auto"/>
            <w:bottom w:val="none" w:sz="0" w:space="0" w:color="auto"/>
            <w:right w:val="none" w:sz="0" w:space="0" w:color="auto"/>
          </w:divBdr>
          <w:divsChild>
            <w:div w:id="438530216">
              <w:marLeft w:val="0"/>
              <w:marRight w:val="0"/>
              <w:marTop w:val="0"/>
              <w:marBottom w:val="0"/>
              <w:divBdr>
                <w:top w:val="none" w:sz="0" w:space="0" w:color="auto"/>
                <w:left w:val="none" w:sz="0" w:space="0" w:color="auto"/>
                <w:bottom w:val="none" w:sz="0" w:space="0" w:color="auto"/>
                <w:right w:val="none" w:sz="0" w:space="0" w:color="auto"/>
              </w:divBdr>
              <w:divsChild>
                <w:div w:id="114026373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00821126">
      <w:bodyDiv w:val="1"/>
      <w:marLeft w:val="0"/>
      <w:marRight w:val="0"/>
      <w:marTop w:val="0"/>
      <w:marBottom w:val="0"/>
      <w:divBdr>
        <w:top w:val="none" w:sz="0" w:space="0" w:color="auto"/>
        <w:left w:val="none" w:sz="0" w:space="0" w:color="auto"/>
        <w:bottom w:val="none" w:sz="0" w:space="0" w:color="auto"/>
        <w:right w:val="none" w:sz="0" w:space="0" w:color="auto"/>
      </w:divBdr>
      <w:divsChild>
        <w:div w:id="327439441">
          <w:marLeft w:val="0"/>
          <w:marRight w:val="0"/>
          <w:marTop w:val="0"/>
          <w:marBottom w:val="225"/>
          <w:divBdr>
            <w:top w:val="none" w:sz="0" w:space="0" w:color="auto"/>
            <w:left w:val="none" w:sz="0" w:space="0" w:color="auto"/>
            <w:bottom w:val="none" w:sz="0" w:space="0" w:color="auto"/>
            <w:right w:val="none" w:sz="0" w:space="0" w:color="auto"/>
          </w:divBdr>
        </w:div>
        <w:div w:id="1130132143">
          <w:marLeft w:val="0"/>
          <w:marRight w:val="0"/>
          <w:marTop w:val="0"/>
          <w:marBottom w:val="0"/>
          <w:divBdr>
            <w:top w:val="none" w:sz="0" w:space="0" w:color="auto"/>
            <w:left w:val="none" w:sz="0" w:space="0" w:color="auto"/>
            <w:bottom w:val="none" w:sz="0" w:space="0" w:color="auto"/>
            <w:right w:val="none" w:sz="0" w:space="0" w:color="auto"/>
          </w:divBdr>
          <w:divsChild>
            <w:div w:id="1378506153">
              <w:marLeft w:val="0"/>
              <w:marRight w:val="0"/>
              <w:marTop w:val="0"/>
              <w:marBottom w:val="0"/>
              <w:divBdr>
                <w:top w:val="none" w:sz="0" w:space="0" w:color="auto"/>
                <w:left w:val="none" w:sz="0" w:space="0" w:color="auto"/>
                <w:bottom w:val="none" w:sz="0" w:space="0" w:color="auto"/>
                <w:right w:val="none" w:sz="0" w:space="0" w:color="auto"/>
              </w:divBdr>
              <w:divsChild>
                <w:div w:id="150138467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3DF1-F9D2-408C-9AD5-10A71AA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2012-11-27T22:25:00Z</dcterms:created>
  <dcterms:modified xsi:type="dcterms:W3CDTF">2012-11-27T22:25:00Z</dcterms:modified>
</cp:coreProperties>
</file>